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4A0" w:firstRow="1" w:lastRow="0" w:firstColumn="1" w:lastColumn="0" w:noHBand="0" w:noVBand="1"/>
        <w:tblDescription w:val="Page layout for front and back cover of booklet"/>
      </w:tblPr>
      <w:tblGrid>
        <w:gridCol w:w="6192"/>
        <w:gridCol w:w="864"/>
        <w:gridCol w:w="864"/>
        <w:gridCol w:w="6192"/>
      </w:tblGrid>
      <w:tr w:rsidR="009D2335">
        <w:trPr>
          <w:trHeight w:hRule="exact" w:val="10152"/>
        </w:trPr>
        <w:tc>
          <w:tcPr>
            <w:tcW w:w="6192" w:type="dxa"/>
          </w:tcPr>
          <w:p w:rsidR="00F561BA" w:rsidRDefault="00F561BA" w:rsidP="009569F7">
            <w:pPr>
              <w:pStyle w:val="NoSpacing"/>
              <w:jc w:val="both"/>
              <w:rPr>
                <w:b/>
                <w:color w:val="FF6600"/>
                <w:sz w:val="28"/>
              </w:rPr>
            </w:pPr>
            <w:r w:rsidRPr="00FC503D">
              <w:rPr>
                <w:b/>
                <w:color w:val="FF6600"/>
                <w:sz w:val="28"/>
              </w:rPr>
              <w:t>Objectives</w:t>
            </w:r>
          </w:p>
          <w:p w:rsidR="009569F7" w:rsidRPr="009569F7" w:rsidRDefault="009569F7" w:rsidP="009569F7">
            <w:pPr>
              <w:pStyle w:val="NoSpacing"/>
              <w:jc w:val="both"/>
              <w:rPr>
                <w:b/>
                <w:color w:val="FF6600"/>
                <w:sz w:val="8"/>
                <w:szCs w:val="8"/>
              </w:rPr>
            </w:pPr>
          </w:p>
          <w:p w:rsidR="00F561BA" w:rsidRDefault="00FC503D" w:rsidP="009569F7">
            <w:pPr>
              <w:pStyle w:val="NoSpacing"/>
              <w:jc w:val="both"/>
              <w:rPr>
                <w:b/>
                <w:i/>
                <w:sz w:val="22"/>
              </w:rPr>
            </w:pPr>
            <w:r w:rsidRPr="009569F7">
              <w:rPr>
                <w:b/>
                <w:i/>
                <w:sz w:val="22"/>
              </w:rPr>
              <w:t>Information Sharing</w:t>
            </w:r>
          </w:p>
          <w:p w:rsidR="009569F7" w:rsidRPr="009569F7" w:rsidRDefault="009569F7" w:rsidP="009569F7">
            <w:pPr>
              <w:pStyle w:val="NoSpacing"/>
              <w:jc w:val="both"/>
              <w:rPr>
                <w:color w:val="0070C0"/>
                <w:sz w:val="22"/>
              </w:rPr>
            </w:pPr>
            <w:r w:rsidRPr="009569F7">
              <w:rPr>
                <w:color w:val="0070C0"/>
                <w:sz w:val="22"/>
              </w:rPr>
              <w:t>(Entire Health Care Coalition)</w:t>
            </w:r>
          </w:p>
          <w:p w:rsidR="00FC503D" w:rsidRPr="009569F7" w:rsidRDefault="00FC503D" w:rsidP="009569F7">
            <w:pPr>
              <w:pStyle w:val="NoSpacing"/>
              <w:jc w:val="both"/>
              <w:rPr>
                <w:sz w:val="22"/>
              </w:rPr>
            </w:pPr>
            <w:r w:rsidRPr="009569F7">
              <w:rPr>
                <w:sz w:val="22"/>
              </w:rPr>
              <w:t>Assess the ability of local healthcare organizations within the Health Care Coalition of Orange County (HCCOC) to share emergent information with internal and external stakeholders, ensuring communication feedback from the Orange County Health Care Agency Operations Center.</w:t>
            </w:r>
          </w:p>
          <w:p w:rsidR="00FC503D" w:rsidRPr="009569F7" w:rsidRDefault="00FC503D" w:rsidP="009569F7">
            <w:pPr>
              <w:pStyle w:val="NoSpacing"/>
              <w:jc w:val="both"/>
              <w:rPr>
                <w:sz w:val="22"/>
              </w:rPr>
            </w:pPr>
          </w:p>
          <w:p w:rsidR="00FC503D" w:rsidRDefault="00FC503D" w:rsidP="009569F7">
            <w:pPr>
              <w:pStyle w:val="NoSpacing"/>
              <w:jc w:val="both"/>
              <w:rPr>
                <w:b/>
                <w:i/>
                <w:sz w:val="22"/>
              </w:rPr>
            </w:pPr>
            <w:r w:rsidRPr="009569F7">
              <w:rPr>
                <w:b/>
                <w:i/>
                <w:sz w:val="22"/>
              </w:rPr>
              <w:t>Resource Management</w:t>
            </w:r>
          </w:p>
          <w:p w:rsidR="009569F7" w:rsidRPr="009569F7" w:rsidRDefault="009569F7" w:rsidP="009569F7">
            <w:pPr>
              <w:pStyle w:val="NoSpacing"/>
              <w:jc w:val="both"/>
              <w:rPr>
                <w:color w:val="0070C0"/>
                <w:sz w:val="22"/>
              </w:rPr>
            </w:pPr>
            <w:r w:rsidRPr="009569F7">
              <w:rPr>
                <w:color w:val="0070C0"/>
                <w:sz w:val="22"/>
              </w:rPr>
              <w:t>(Hospitals Only)</w:t>
            </w:r>
          </w:p>
          <w:p w:rsidR="00FC503D" w:rsidRPr="009569F7" w:rsidRDefault="00FC503D" w:rsidP="009569F7">
            <w:pPr>
              <w:pStyle w:val="NoSpacing"/>
              <w:jc w:val="both"/>
              <w:rPr>
                <w:sz w:val="22"/>
              </w:rPr>
            </w:pPr>
            <w:r w:rsidRPr="009569F7">
              <w:rPr>
                <w:sz w:val="22"/>
              </w:rPr>
              <w:t>Assess the capability of healthcare organizations within the HCCOC to identify the need and re-quest various logistical resources (e.g., personnel, supplies and equipment) through identified channels of coordination.</w:t>
            </w:r>
            <w:r w:rsidR="009569F7">
              <w:rPr>
                <w:sz w:val="22"/>
              </w:rPr>
              <w:br/>
            </w:r>
          </w:p>
          <w:tbl>
            <w:tblPr>
              <w:tblW w:w="5000" w:type="pct"/>
              <w:tblCellMar>
                <w:left w:w="0" w:type="dxa"/>
                <w:right w:w="0" w:type="dxa"/>
              </w:tblCellMar>
              <w:tblLook w:val="04A0" w:firstRow="1" w:lastRow="0" w:firstColumn="1" w:lastColumn="0" w:noHBand="0" w:noVBand="1"/>
              <w:tblDescription w:val="Back cover layout"/>
            </w:tblPr>
            <w:tblGrid>
              <w:gridCol w:w="6192"/>
            </w:tblGrid>
            <w:tr w:rsidR="009D2335" w:rsidTr="00DE3E9C">
              <w:trPr>
                <w:trHeight w:val="7920"/>
              </w:trPr>
              <w:tc>
                <w:tcPr>
                  <w:tcW w:w="5000" w:type="pct"/>
                </w:tcPr>
                <w:p w:rsidR="009D2335" w:rsidRPr="00F561BA" w:rsidRDefault="00AE63B2" w:rsidP="009569F7">
                  <w:pPr>
                    <w:pStyle w:val="Heading2"/>
                    <w:spacing w:before="0"/>
                    <w:jc w:val="both"/>
                    <w:rPr>
                      <w:color w:val="FF6600"/>
                    </w:rPr>
                  </w:pPr>
                  <w:r w:rsidRPr="00F561BA">
                    <w:rPr>
                      <w:color w:val="FF6600"/>
                    </w:rPr>
                    <w:t>Training &amp; Safety Points to Rem</w:t>
                  </w:r>
                  <w:r w:rsidR="00DE3E9C" w:rsidRPr="00F561BA">
                    <w:rPr>
                      <w:color w:val="FF6600"/>
                    </w:rPr>
                    <w:t>emb</w:t>
                  </w:r>
                  <w:r w:rsidRPr="00F561BA">
                    <w:rPr>
                      <w:color w:val="FF6600"/>
                    </w:rPr>
                    <w:t>er</w:t>
                  </w:r>
                </w:p>
                <w:p w:rsidR="00AE63B2" w:rsidRPr="009569F7" w:rsidRDefault="00AE63B2" w:rsidP="009569F7">
                  <w:pPr>
                    <w:pStyle w:val="ListParagraph"/>
                    <w:numPr>
                      <w:ilvl w:val="0"/>
                      <w:numId w:val="3"/>
                    </w:numPr>
                    <w:spacing w:after="0"/>
                    <w:ind w:left="360"/>
                    <w:jc w:val="both"/>
                    <w:rPr>
                      <w:color w:val="auto"/>
                      <w:sz w:val="22"/>
                    </w:rPr>
                  </w:pPr>
                  <w:r w:rsidRPr="009569F7">
                    <w:rPr>
                      <w:color w:val="auto"/>
                      <w:sz w:val="22"/>
                    </w:rPr>
                    <w:t xml:space="preserve">Everyone is a Safety Officer. Please be mindful of your surroundings and report all safety concerns. </w:t>
                  </w:r>
                </w:p>
                <w:p w:rsidR="00AE63B2" w:rsidRPr="009569F7" w:rsidRDefault="00AE63B2" w:rsidP="009569F7">
                  <w:pPr>
                    <w:pStyle w:val="ListParagraph"/>
                    <w:spacing w:after="0"/>
                    <w:ind w:left="360"/>
                    <w:jc w:val="both"/>
                    <w:rPr>
                      <w:color w:val="auto"/>
                      <w:sz w:val="22"/>
                    </w:rPr>
                  </w:pPr>
                </w:p>
                <w:p w:rsidR="00AE63B2" w:rsidRPr="009569F7" w:rsidRDefault="00AE63B2" w:rsidP="009569F7">
                  <w:pPr>
                    <w:pStyle w:val="ListParagraph"/>
                    <w:numPr>
                      <w:ilvl w:val="0"/>
                      <w:numId w:val="3"/>
                    </w:numPr>
                    <w:spacing w:after="0"/>
                    <w:ind w:left="360"/>
                    <w:jc w:val="both"/>
                    <w:rPr>
                      <w:color w:val="auto"/>
                      <w:sz w:val="22"/>
                    </w:rPr>
                  </w:pPr>
                  <w:r w:rsidRPr="009569F7">
                    <w:rPr>
                      <w:color w:val="auto"/>
                      <w:sz w:val="22"/>
                    </w:rPr>
                    <w:t xml:space="preserve">All verbal (telephone, radios, etc.) communication with offsite participants will begin with the phrase, </w:t>
                  </w:r>
                  <w:r w:rsidRPr="009569F7">
                    <w:rPr>
                      <w:b/>
                      <w:color w:val="auto"/>
                      <w:sz w:val="22"/>
                    </w:rPr>
                    <w:t>“This is an exercise.”</w:t>
                  </w:r>
                  <w:r w:rsidRPr="009569F7">
                    <w:rPr>
                      <w:color w:val="auto"/>
                      <w:sz w:val="22"/>
                    </w:rPr>
                    <w:br/>
                  </w:r>
                </w:p>
                <w:p w:rsidR="00DE3E9C" w:rsidRPr="009569F7" w:rsidRDefault="00AE63B2" w:rsidP="009569F7">
                  <w:pPr>
                    <w:pStyle w:val="ListParagraph"/>
                    <w:numPr>
                      <w:ilvl w:val="0"/>
                      <w:numId w:val="3"/>
                    </w:numPr>
                    <w:spacing w:after="0"/>
                    <w:ind w:left="360"/>
                    <w:jc w:val="both"/>
                    <w:rPr>
                      <w:color w:val="auto"/>
                      <w:sz w:val="22"/>
                    </w:rPr>
                  </w:pPr>
                  <w:r w:rsidRPr="009569F7">
                    <w:rPr>
                      <w:color w:val="auto"/>
                      <w:sz w:val="22"/>
                    </w:rPr>
                    <w:t xml:space="preserve">The training will be conducted in a no-fault learning environment wherein systems and processes, no </w:t>
                  </w:r>
                  <w:r w:rsidR="00DE3E9C" w:rsidRPr="009569F7">
                    <w:rPr>
                      <w:color w:val="auto"/>
                      <w:sz w:val="22"/>
                    </w:rPr>
                    <w:t>individuals will be evaluated.</w:t>
                  </w:r>
                </w:p>
                <w:p w:rsidR="00DE3E9C" w:rsidRPr="009569F7" w:rsidRDefault="00DE3E9C" w:rsidP="009569F7">
                  <w:pPr>
                    <w:pStyle w:val="ListParagraph"/>
                    <w:spacing w:after="0"/>
                    <w:ind w:left="360"/>
                    <w:jc w:val="both"/>
                    <w:rPr>
                      <w:color w:val="auto"/>
                      <w:sz w:val="22"/>
                    </w:rPr>
                  </w:pPr>
                </w:p>
                <w:p w:rsidR="00DE3E9C" w:rsidRPr="009569F7" w:rsidRDefault="00AE63B2" w:rsidP="009569F7">
                  <w:pPr>
                    <w:pStyle w:val="ListParagraph"/>
                    <w:numPr>
                      <w:ilvl w:val="0"/>
                      <w:numId w:val="3"/>
                    </w:numPr>
                    <w:spacing w:after="0"/>
                    <w:ind w:left="360"/>
                    <w:jc w:val="both"/>
                    <w:rPr>
                      <w:color w:val="auto"/>
                      <w:sz w:val="22"/>
                    </w:rPr>
                  </w:pPr>
                  <w:r w:rsidRPr="009569F7">
                    <w:rPr>
                      <w:color w:val="auto"/>
                      <w:sz w:val="22"/>
                    </w:rPr>
                    <w:t>Training simulation will be realistic and plausible and will contain sufficient detail from which players can respond.</w:t>
                  </w:r>
                  <w:bookmarkStart w:id="0" w:name="_Toc347752182"/>
                </w:p>
                <w:p w:rsidR="00DE3E9C" w:rsidRDefault="00DE3E9C" w:rsidP="009569F7">
                  <w:pPr>
                    <w:pStyle w:val="ListParagraph"/>
                    <w:jc w:val="both"/>
                  </w:pPr>
                </w:p>
                <w:bookmarkEnd w:id="0"/>
                <w:p w:rsidR="009D2335" w:rsidRDefault="009D2335" w:rsidP="009569F7">
                  <w:pPr>
                    <w:pStyle w:val="ContactInfo"/>
                    <w:jc w:val="both"/>
                  </w:pPr>
                </w:p>
              </w:tc>
            </w:tr>
            <w:tr w:rsidR="009D2335" w:rsidTr="00DE3E9C">
              <w:trPr>
                <w:trHeight w:val="2232"/>
              </w:trPr>
              <w:tc>
                <w:tcPr>
                  <w:tcW w:w="5000" w:type="pct"/>
                  <w:vAlign w:val="bottom"/>
                </w:tcPr>
                <w:p w:rsidR="009D2335" w:rsidRDefault="009D2335">
                  <w:pPr>
                    <w:pStyle w:val="NoSpacing"/>
                  </w:pPr>
                </w:p>
              </w:tc>
            </w:tr>
          </w:tbl>
          <w:p w:rsidR="009D2335" w:rsidRDefault="009D2335">
            <w:pPr>
              <w:pStyle w:val="NoSpacing"/>
            </w:pPr>
          </w:p>
        </w:tc>
        <w:tc>
          <w:tcPr>
            <w:tcW w:w="864" w:type="dxa"/>
          </w:tcPr>
          <w:p w:rsidR="009D2335" w:rsidRDefault="009D2335">
            <w:pPr>
              <w:pStyle w:val="NoSpacing"/>
            </w:pPr>
          </w:p>
        </w:tc>
        <w:tc>
          <w:tcPr>
            <w:tcW w:w="864" w:type="dxa"/>
          </w:tcPr>
          <w:p w:rsidR="009D2335" w:rsidRDefault="009D2335">
            <w:pPr>
              <w:pStyle w:val="NoSpacing"/>
            </w:pPr>
          </w:p>
        </w:tc>
        <w:tc>
          <w:tcPr>
            <w:tcW w:w="6192" w:type="dxa"/>
          </w:tcPr>
          <w:tbl>
            <w:tblPr>
              <w:tblW w:w="5000" w:type="pct"/>
              <w:tblCellMar>
                <w:left w:w="0" w:type="dxa"/>
                <w:right w:w="0" w:type="dxa"/>
              </w:tblCellMar>
              <w:tblLook w:val="04A0" w:firstRow="1" w:lastRow="0" w:firstColumn="1" w:lastColumn="0" w:noHBand="0" w:noVBand="1"/>
              <w:tblDescription w:val="Front cover layout"/>
            </w:tblPr>
            <w:tblGrid>
              <w:gridCol w:w="6192"/>
            </w:tblGrid>
            <w:tr w:rsidR="009D2335">
              <w:trPr>
                <w:trHeight w:val="4363"/>
              </w:trPr>
              <w:tc>
                <w:tcPr>
                  <w:tcW w:w="5000" w:type="pct"/>
                  <w:vAlign w:val="bottom"/>
                </w:tcPr>
                <w:p w:rsidR="009D2335" w:rsidRDefault="009D2335" w:rsidP="00AE63B2">
                  <w:pPr>
                    <w:pStyle w:val="Title"/>
                  </w:pPr>
                </w:p>
              </w:tc>
            </w:tr>
            <w:tr w:rsidR="009D2335">
              <w:trPr>
                <w:trHeight w:val="3989"/>
              </w:trPr>
              <w:tc>
                <w:tcPr>
                  <w:tcW w:w="5000" w:type="pct"/>
                  <w:vAlign w:val="center"/>
                </w:tcPr>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CellMar>
                      <w:left w:w="0" w:type="dxa"/>
                      <w:right w:w="0" w:type="dxa"/>
                    </w:tblCellMar>
                    <w:tblLook w:val="04A0" w:firstRow="1" w:lastRow="0" w:firstColumn="1" w:lastColumn="0" w:noHBand="0" w:noVBand="1"/>
                    <w:tblDescription w:val="Picture frame"/>
                  </w:tblPr>
                  <w:tblGrid>
                    <w:gridCol w:w="21"/>
                  </w:tblGrid>
                  <w:tr w:rsidR="009D2335">
                    <w:tc>
                      <w:tcPr>
                        <w:tcW w:w="0" w:type="auto"/>
                      </w:tcPr>
                      <w:p w:rsidR="009D2335" w:rsidRDefault="009D2335">
                        <w:pPr>
                          <w:pStyle w:val="Photo"/>
                        </w:pPr>
                      </w:p>
                    </w:tc>
                  </w:tr>
                </w:tbl>
                <w:p w:rsidR="009D2335" w:rsidRDefault="00F561BA">
                  <w:pPr>
                    <w:pStyle w:val="NoSpacing"/>
                    <w:jc w:val="center"/>
                  </w:pPr>
                  <w:r>
                    <w:rPr>
                      <w:noProof/>
                      <w:lang w:eastAsia="en-US"/>
                    </w:rPr>
                    <w:drawing>
                      <wp:anchor distT="0" distB="0" distL="114300" distR="114300" simplePos="0" relativeHeight="251658240" behindDoc="0" locked="0" layoutInCell="1" allowOverlap="1">
                        <wp:simplePos x="0" y="0"/>
                        <wp:positionH relativeFrom="column">
                          <wp:posOffset>-479425</wp:posOffset>
                        </wp:positionH>
                        <wp:positionV relativeFrom="paragraph">
                          <wp:posOffset>-3521075</wp:posOffset>
                        </wp:positionV>
                        <wp:extent cx="4993640" cy="77374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993640" cy="7737475"/>
                                </a:xfrm>
                                <a:prstGeom prst="rect">
                                  <a:avLst/>
                                </a:prstGeom>
                              </pic:spPr>
                            </pic:pic>
                          </a:graphicData>
                        </a:graphic>
                        <wp14:sizeRelH relativeFrom="page">
                          <wp14:pctWidth>0</wp14:pctWidth>
                        </wp14:sizeRelH>
                        <wp14:sizeRelV relativeFrom="page">
                          <wp14:pctHeight>0</wp14:pctHeight>
                        </wp14:sizeRelV>
                      </wp:anchor>
                    </w:drawing>
                  </w:r>
                </w:p>
              </w:tc>
            </w:tr>
            <w:tr w:rsidR="009D2335">
              <w:trPr>
                <w:trHeight w:val="1800"/>
              </w:trPr>
              <w:tc>
                <w:tcPr>
                  <w:tcW w:w="5000" w:type="pct"/>
                </w:tcPr>
                <w:p w:rsidR="009D2335" w:rsidRDefault="009D2335">
                  <w:pPr>
                    <w:pStyle w:val="Subtitle"/>
                  </w:pPr>
                </w:p>
              </w:tc>
            </w:tr>
          </w:tbl>
          <w:p w:rsidR="009D2335" w:rsidRDefault="009D2335">
            <w:pPr>
              <w:pStyle w:val="NoSpacing"/>
            </w:pPr>
          </w:p>
        </w:tc>
      </w:tr>
    </w:tbl>
    <w:p w:rsidR="009D2335" w:rsidRDefault="009D2335">
      <w:pPr>
        <w:pStyle w:val="NoSpacing"/>
      </w:pPr>
    </w:p>
    <w:tbl>
      <w:tblPr>
        <w:tblW w:w="0" w:type="auto"/>
        <w:tblCellMar>
          <w:left w:w="0" w:type="dxa"/>
          <w:right w:w="0" w:type="dxa"/>
        </w:tblCellMar>
        <w:tblLook w:val="04A0" w:firstRow="1" w:lastRow="0" w:firstColumn="1" w:lastColumn="0" w:noHBand="0" w:noVBand="1"/>
        <w:tblDescription w:val="Page layout for 2 interior booklet pages"/>
      </w:tblPr>
      <w:tblGrid>
        <w:gridCol w:w="6840"/>
        <w:gridCol w:w="319"/>
        <w:gridCol w:w="306"/>
        <w:gridCol w:w="6840"/>
      </w:tblGrid>
      <w:tr w:rsidR="009D2335" w:rsidTr="009569F7">
        <w:trPr>
          <w:trHeight w:hRule="exact" w:val="10630"/>
        </w:trPr>
        <w:tc>
          <w:tcPr>
            <w:tcW w:w="6840" w:type="dxa"/>
          </w:tcPr>
          <w:p w:rsidR="009D2335" w:rsidRPr="00F561BA" w:rsidRDefault="00757AB4" w:rsidP="00F561BA">
            <w:pPr>
              <w:pStyle w:val="TOC1"/>
            </w:pPr>
            <w:r w:rsidRPr="00F561BA">
              <w:lastRenderedPageBreak/>
              <w:t>Scenario Information</w:t>
            </w:r>
          </w:p>
          <w:p w:rsidR="00757AB4" w:rsidRPr="009569F7" w:rsidRDefault="00757AB4" w:rsidP="00757AB4">
            <w:pPr>
              <w:pStyle w:val="NoSpacing"/>
              <w:rPr>
                <w:b/>
                <w:i/>
                <w:color w:val="auto"/>
                <w:sz w:val="22"/>
              </w:rPr>
            </w:pPr>
            <w:r w:rsidRPr="009569F7">
              <w:rPr>
                <w:b/>
                <w:i/>
                <w:color w:val="auto"/>
                <w:sz w:val="22"/>
              </w:rPr>
              <w:t>Pre-</w:t>
            </w:r>
            <w:bookmarkStart w:id="1" w:name="_GoBack"/>
            <w:bookmarkEnd w:id="1"/>
            <w:r w:rsidRPr="009569F7">
              <w:rPr>
                <w:b/>
                <w:i/>
                <w:color w:val="auto"/>
                <w:sz w:val="22"/>
              </w:rPr>
              <w:t>Incident Information</w:t>
            </w:r>
          </w:p>
          <w:p w:rsidR="00757AB4" w:rsidRPr="009569F7" w:rsidRDefault="00757AB4" w:rsidP="00757AB4">
            <w:pPr>
              <w:pStyle w:val="NoSpacing"/>
              <w:rPr>
                <w:color w:val="0070C0"/>
                <w:sz w:val="22"/>
              </w:rPr>
            </w:pPr>
            <w:r w:rsidRPr="009569F7">
              <w:rPr>
                <w:color w:val="0070C0"/>
                <w:sz w:val="22"/>
              </w:rPr>
              <w:t>May 2019</w:t>
            </w:r>
          </w:p>
          <w:p w:rsidR="00757AB4" w:rsidRPr="009569F7" w:rsidRDefault="00757AB4" w:rsidP="002C6A70">
            <w:pPr>
              <w:pStyle w:val="NoSpacing"/>
              <w:numPr>
                <w:ilvl w:val="0"/>
                <w:numId w:val="4"/>
              </w:numPr>
              <w:jc w:val="both"/>
              <w:rPr>
                <w:color w:val="auto"/>
                <w:sz w:val="22"/>
              </w:rPr>
            </w:pPr>
            <w:r w:rsidRPr="009569F7">
              <w:rPr>
                <w:color w:val="auto"/>
                <w:sz w:val="22"/>
              </w:rPr>
              <w:t>U.S. Army Corps of Engineers increase the dam’s risk from “moderate” to “high urgency” following a performance assessment.  Concern arises over the concrete slab of the spillway and how well it will perform/hold-up if water were to spill over the top.</w:t>
            </w:r>
          </w:p>
          <w:p w:rsidR="00F561BA" w:rsidRPr="00F561BA" w:rsidRDefault="00F561BA" w:rsidP="002C6A70">
            <w:pPr>
              <w:pStyle w:val="NoSpacing"/>
              <w:jc w:val="both"/>
              <w:rPr>
                <w:sz w:val="10"/>
              </w:rPr>
            </w:pPr>
          </w:p>
          <w:p w:rsidR="00757AB4" w:rsidRPr="009569F7" w:rsidRDefault="00757AB4" w:rsidP="002C6A70">
            <w:pPr>
              <w:pStyle w:val="NoSpacing"/>
              <w:jc w:val="both"/>
              <w:rPr>
                <w:color w:val="0070C0"/>
                <w:sz w:val="22"/>
              </w:rPr>
            </w:pPr>
            <w:r w:rsidRPr="009569F7">
              <w:rPr>
                <w:color w:val="0070C0"/>
                <w:sz w:val="22"/>
              </w:rPr>
              <w:t>November 19, 2019</w:t>
            </w:r>
          </w:p>
          <w:p w:rsidR="00757AB4" w:rsidRPr="009569F7" w:rsidRDefault="00757AB4" w:rsidP="002C6A70">
            <w:pPr>
              <w:pStyle w:val="NoSpacing"/>
              <w:numPr>
                <w:ilvl w:val="0"/>
                <w:numId w:val="4"/>
              </w:numPr>
              <w:jc w:val="both"/>
              <w:rPr>
                <w:color w:val="auto"/>
              </w:rPr>
            </w:pPr>
            <w:r w:rsidRPr="009569F7">
              <w:rPr>
                <w:color w:val="auto"/>
                <w:sz w:val="22"/>
              </w:rPr>
              <w:t xml:space="preserve">Orange County has had an unusually wet season, with a record amount of rainfall.  Extended rainfall has saturated the soil and caused runoff directly into streams and rivers, causing small area floods.  Wet weather is expected to continue, and a slow-moving low-pressure storm system continues to produce heavy rainfall.  </w:t>
            </w:r>
          </w:p>
          <w:p w:rsidR="00F561BA" w:rsidRPr="009569F7" w:rsidRDefault="00F561BA" w:rsidP="002C6A70">
            <w:pPr>
              <w:pStyle w:val="NoSpacing"/>
              <w:jc w:val="both"/>
              <w:rPr>
                <w:color w:val="auto"/>
                <w:sz w:val="22"/>
              </w:rPr>
            </w:pPr>
          </w:p>
          <w:p w:rsidR="00F561BA" w:rsidRPr="009569F7" w:rsidRDefault="00F561BA" w:rsidP="002C6A70">
            <w:pPr>
              <w:pStyle w:val="NoSpacing"/>
              <w:jc w:val="both"/>
              <w:rPr>
                <w:b/>
                <w:i/>
                <w:color w:val="auto"/>
                <w:sz w:val="22"/>
              </w:rPr>
            </w:pPr>
            <w:r w:rsidRPr="009569F7">
              <w:rPr>
                <w:b/>
                <w:i/>
                <w:color w:val="auto"/>
                <w:sz w:val="22"/>
              </w:rPr>
              <w:t>Exercise Information</w:t>
            </w:r>
          </w:p>
          <w:p w:rsidR="00F561BA" w:rsidRPr="009569F7" w:rsidRDefault="00F561BA" w:rsidP="002C6A70">
            <w:pPr>
              <w:pStyle w:val="NoSpacing"/>
              <w:jc w:val="both"/>
              <w:rPr>
                <w:color w:val="0070C0"/>
                <w:sz w:val="22"/>
              </w:rPr>
            </w:pPr>
            <w:r w:rsidRPr="009569F7">
              <w:rPr>
                <w:color w:val="0070C0"/>
                <w:sz w:val="22"/>
              </w:rPr>
              <w:t>November 20, 2019</w:t>
            </w:r>
          </w:p>
          <w:p w:rsidR="00F561BA" w:rsidRPr="009569F7" w:rsidRDefault="00F561BA" w:rsidP="002C6A70">
            <w:pPr>
              <w:pStyle w:val="NoSpacing"/>
              <w:numPr>
                <w:ilvl w:val="0"/>
                <w:numId w:val="4"/>
              </w:numPr>
              <w:jc w:val="both"/>
              <w:rPr>
                <w:color w:val="auto"/>
                <w:sz w:val="22"/>
              </w:rPr>
            </w:pPr>
            <w:r w:rsidRPr="009569F7">
              <w:rPr>
                <w:b/>
                <w:color w:val="auto"/>
                <w:sz w:val="22"/>
              </w:rPr>
              <w:t xml:space="preserve">0800 </w:t>
            </w:r>
            <w:r w:rsidRPr="009569F7">
              <w:rPr>
                <w:color w:val="auto"/>
                <w:sz w:val="22"/>
              </w:rPr>
              <w:tab/>
              <w:t>Over the past 24hours heavy rain has fallen with flash flood warnings being broadcast across Orange, Riverside, LA, and San Bernardino Counties.  With this heavy rainfall, officials are concerned over the structural stability of Prado Dam as critical areas around the dam are experiencing flooding.  Authorities have begun the evacuation process of various critical areas downhill.</w:t>
            </w:r>
          </w:p>
          <w:p w:rsidR="00F561BA" w:rsidRPr="009569F7" w:rsidRDefault="00F561BA" w:rsidP="002C6A70">
            <w:pPr>
              <w:pStyle w:val="NoSpacing"/>
              <w:ind w:left="720"/>
              <w:jc w:val="both"/>
              <w:rPr>
                <w:color w:val="auto"/>
                <w:sz w:val="8"/>
                <w:szCs w:val="8"/>
              </w:rPr>
            </w:pPr>
          </w:p>
          <w:p w:rsidR="00F561BA" w:rsidRPr="009569F7" w:rsidRDefault="00F561BA" w:rsidP="002C6A70">
            <w:pPr>
              <w:pStyle w:val="NoSpacing"/>
              <w:numPr>
                <w:ilvl w:val="0"/>
                <w:numId w:val="4"/>
              </w:numPr>
              <w:jc w:val="both"/>
              <w:rPr>
                <w:color w:val="auto"/>
                <w:sz w:val="22"/>
              </w:rPr>
            </w:pPr>
            <w:r w:rsidRPr="009569F7">
              <w:rPr>
                <w:b/>
                <w:color w:val="auto"/>
                <w:sz w:val="22"/>
              </w:rPr>
              <w:t xml:space="preserve">1100 </w:t>
            </w:r>
            <w:r w:rsidRPr="009569F7">
              <w:rPr>
                <w:color w:val="auto"/>
                <w:sz w:val="22"/>
              </w:rPr>
              <w:tab/>
              <w:t>As the heavy storm continues, engineers identify that the breach of Prado Dam is imminent.  Evacuation zones have been broadened and first responders notified.</w:t>
            </w:r>
          </w:p>
          <w:p w:rsidR="00F561BA" w:rsidRPr="009569F7" w:rsidRDefault="00F561BA" w:rsidP="002C6A70">
            <w:pPr>
              <w:pStyle w:val="NoSpacing"/>
              <w:ind w:left="720"/>
              <w:jc w:val="both"/>
              <w:rPr>
                <w:color w:val="auto"/>
                <w:sz w:val="8"/>
                <w:szCs w:val="8"/>
              </w:rPr>
            </w:pPr>
          </w:p>
          <w:p w:rsidR="00F561BA" w:rsidRPr="009569F7" w:rsidRDefault="00F561BA" w:rsidP="002C6A70">
            <w:pPr>
              <w:pStyle w:val="NoSpacing"/>
              <w:numPr>
                <w:ilvl w:val="0"/>
                <w:numId w:val="4"/>
              </w:numPr>
              <w:jc w:val="both"/>
              <w:rPr>
                <w:color w:val="auto"/>
                <w:sz w:val="22"/>
              </w:rPr>
            </w:pPr>
            <w:r w:rsidRPr="009569F7">
              <w:rPr>
                <w:b/>
                <w:color w:val="auto"/>
                <w:sz w:val="22"/>
              </w:rPr>
              <w:t xml:space="preserve">1115 </w:t>
            </w:r>
            <w:r w:rsidRPr="009569F7">
              <w:rPr>
                <w:color w:val="auto"/>
                <w:sz w:val="22"/>
              </w:rPr>
              <w:tab/>
              <w:t>As water is flowing over the spillway, the dam has a catastrophic failure; releasing massive amounts of its contents into Orange County.  Portions of both the 71 and 91 freeways have significant damage and have been closed to traffic indefinitely.  Additionally, the abrupt failure of the dam have caused utilities to become intermittent throughout the county.  Search and rescue operations have begun taking place and first responders have become inundated with life-saving calls.</w:t>
            </w:r>
          </w:p>
          <w:p w:rsidR="00675EB3" w:rsidRPr="00675EB3" w:rsidRDefault="00675EB3" w:rsidP="002C6A70">
            <w:pPr>
              <w:pStyle w:val="NoSpacing"/>
              <w:jc w:val="both"/>
              <w:rPr>
                <w:sz w:val="8"/>
                <w:szCs w:val="8"/>
              </w:rPr>
            </w:pPr>
          </w:p>
          <w:p w:rsidR="002C6A70" w:rsidRPr="009569F7" w:rsidRDefault="002C6A70" w:rsidP="002C6A70">
            <w:pPr>
              <w:pStyle w:val="NoSpacing"/>
              <w:jc w:val="both"/>
              <w:rPr>
                <w:b/>
                <w:i/>
                <w:color w:val="auto"/>
                <w:sz w:val="22"/>
              </w:rPr>
            </w:pPr>
            <w:r w:rsidRPr="009569F7">
              <w:rPr>
                <w:b/>
                <w:i/>
                <w:color w:val="auto"/>
                <w:sz w:val="22"/>
              </w:rPr>
              <w:t>Current &amp; Potential Key Issues</w:t>
            </w:r>
          </w:p>
          <w:tbl>
            <w:tblPr>
              <w:tblStyle w:val="TableGrid"/>
              <w:tblW w:w="0" w:type="auto"/>
              <w:tblLook w:val="04A0" w:firstRow="1" w:lastRow="0" w:firstColumn="1" w:lastColumn="0" w:noHBand="0" w:noVBand="1"/>
            </w:tblPr>
            <w:tblGrid>
              <w:gridCol w:w="2330"/>
              <w:gridCol w:w="2700"/>
              <w:gridCol w:w="1790"/>
            </w:tblGrid>
            <w:tr w:rsidR="009569F7" w:rsidRPr="009569F7" w:rsidTr="00FC503D">
              <w:tc>
                <w:tcPr>
                  <w:tcW w:w="2330" w:type="dxa"/>
                  <w:tcBorders>
                    <w:top w:val="nil"/>
                    <w:left w:val="nil"/>
                    <w:bottom w:val="nil"/>
                    <w:right w:val="nil"/>
                  </w:tcBorders>
                </w:tcPr>
                <w:p w:rsidR="00675EB3" w:rsidRPr="009569F7" w:rsidRDefault="00675EB3" w:rsidP="00675EB3">
                  <w:pPr>
                    <w:pStyle w:val="NoSpacing"/>
                    <w:numPr>
                      <w:ilvl w:val="0"/>
                      <w:numId w:val="6"/>
                    </w:numPr>
                    <w:ind w:left="512"/>
                    <w:jc w:val="both"/>
                    <w:rPr>
                      <w:color w:val="auto"/>
                      <w:sz w:val="22"/>
                    </w:rPr>
                  </w:pPr>
                  <w:r w:rsidRPr="009569F7">
                    <w:rPr>
                      <w:color w:val="auto"/>
                      <w:sz w:val="22"/>
                    </w:rPr>
                    <w:t>Flash Flood</w:t>
                  </w:r>
                </w:p>
              </w:tc>
              <w:tc>
                <w:tcPr>
                  <w:tcW w:w="2700" w:type="dxa"/>
                  <w:tcBorders>
                    <w:top w:val="nil"/>
                    <w:left w:val="nil"/>
                    <w:bottom w:val="nil"/>
                    <w:right w:val="nil"/>
                  </w:tcBorders>
                </w:tcPr>
                <w:p w:rsidR="00675EB3" w:rsidRPr="009569F7" w:rsidRDefault="00675EB3" w:rsidP="00675EB3">
                  <w:pPr>
                    <w:pStyle w:val="NoSpacing"/>
                    <w:numPr>
                      <w:ilvl w:val="0"/>
                      <w:numId w:val="6"/>
                    </w:numPr>
                    <w:ind w:left="436"/>
                    <w:jc w:val="both"/>
                    <w:rPr>
                      <w:color w:val="auto"/>
                      <w:sz w:val="22"/>
                    </w:rPr>
                  </w:pPr>
                  <w:r w:rsidRPr="009569F7">
                    <w:rPr>
                      <w:color w:val="auto"/>
                      <w:sz w:val="22"/>
                    </w:rPr>
                    <w:t>Evacuation</w:t>
                  </w:r>
                </w:p>
              </w:tc>
              <w:tc>
                <w:tcPr>
                  <w:tcW w:w="1790" w:type="dxa"/>
                  <w:tcBorders>
                    <w:top w:val="nil"/>
                    <w:left w:val="nil"/>
                    <w:bottom w:val="nil"/>
                    <w:right w:val="nil"/>
                  </w:tcBorders>
                </w:tcPr>
                <w:p w:rsidR="00675EB3" w:rsidRPr="009569F7" w:rsidRDefault="00675EB3" w:rsidP="00675EB3">
                  <w:pPr>
                    <w:pStyle w:val="NoSpacing"/>
                    <w:numPr>
                      <w:ilvl w:val="0"/>
                      <w:numId w:val="6"/>
                    </w:numPr>
                    <w:ind w:left="373"/>
                    <w:jc w:val="both"/>
                    <w:rPr>
                      <w:color w:val="auto"/>
                      <w:sz w:val="22"/>
                    </w:rPr>
                  </w:pPr>
                  <w:r w:rsidRPr="009569F7">
                    <w:rPr>
                      <w:color w:val="auto"/>
                      <w:sz w:val="22"/>
                    </w:rPr>
                    <w:t>HazMat</w:t>
                  </w:r>
                </w:p>
              </w:tc>
            </w:tr>
            <w:tr w:rsidR="009569F7" w:rsidRPr="009569F7" w:rsidTr="00FC503D">
              <w:tc>
                <w:tcPr>
                  <w:tcW w:w="2330" w:type="dxa"/>
                  <w:tcBorders>
                    <w:top w:val="nil"/>
                    <w:left w:val="nil"/>
                    <w:bottom w:val="nil"/>
                    <w:right w:val="nil"/>
                  </w:tcBorders>
                </w:tcPr>
                <w:p w:rsidR="00675EB3" w:rsidRPr="009569F7" w:rsidRDefault="00675EB3" w:rsidP="00675EB3">
                  <w:pPr>
                    <w:pStyle w:val="NoSpacing"/>
                    <w:numPr>
                      <w:ilvl w:val="0"/>
                      <w:numId w:val="6"/>
                    </w:numPr>
                    <w:ind w:left="512"/>
                    <w:jc w:val="both"/>
                    <w:rPr>
                      <w:color w:val="auto"/>
                      <w:sz w:val="22"/>
                    </w:rPr>
                  </w:pPr>
                  <w:r w:rsidRPr="009569F7">
                    <w:rPr>
                      <w:color w:val="auto"/>
                      <w:sz w:val="22"/>
                    </w:rPr>
                    <w:t>MCI/Med Surge</w:t>
                  </w:r>
                </w:p>
              </w:tc>
              <w:tc>
                <w:tcPr>
                  <w:tcW w:w="2700" w:type="dxa"/>
                  <w:tcBorders>
                    <w:top w:val="nil"/>
                    <w:left w:val="nil"/>
                    <w:bottom w:val="nil"/>
                    <w:right w:val="nil"/>
                  </w:tcBorders>
                </w:tcPr>
                <w:p w:rsidR="00675EB3" w:rsidRPr="009569F7" w:rsidRDefault="00675EB3" w:rsidP="00675EB3">
                  <w:pPr>
                    <w:pStyle w:val="NoSpacing"/>
                    <w:numPr>
                      <w:ilvl w:val="0"/>
                      <w:numId w:val="6"/>
                    </w:numPr>
                    <w:ind w:left="436"/>
                    <w:jc w:val="both"/>
                    <w:rPr>
                      <w:color w:val="auto"/>
                      <w:sz w:val="22"/>
                    </w:rPr>
                  </w:pPr>
                  <w:r w:rsidRPr="009569F7">
                    <w:rPr>
                      <w:color w:val="auto"/>
                      <w:sz w:val="22"/>
                    </w:rPr>
                    <w:t>Utility Failure</w:t>
                  </w:r>
                </w:p>
              </w:tc>
              <w:tc>
                <w:tcPr>
                  <w:tcW w:w="1790" w:type="dxa"/>
                  <w:vMerge w:val="restart"/>
                  <w:tcBorders>
                    <w:top w:val="nil"/>
                    <w:left w:val="nil"/>
                    <w:bottom w:val="nil"/>
                    <w:right w:val="nil"/>
                  </w:tcBorders>
                </w:tcPr>
                <w:p w:rsidR="00675EB3" w:rsidRPr="009569F7" w:rsidRDefault="00675EB3" w:rsidP="00675EB3">
                  <w:pPr>
                    <w:pStyle w:val="NoSpacing"/>
                    <w:numPr>
                      <w:ilvl w:val="0"/>
                      <w:numId w:val="6"/>
                    </w:numPr>
                    <w:ind w:left="373"/>
                    <w:jc w:val="both"/>
                    <w:rPr>
                      <w:color w:val="auto"/>
                      <w:sz w:val="22"/>
                    </w:rPr>
                  </w:pPr>
                  <w:r w:rsidRPr="009569F7">
                    <w:rPr>
                      <w:color w:val="auto"/>
                      <w:sz w:val="22"/>
                    </w:rPr>
                    <w:t>Diminishing Resources</w:t>
                  </w:r>
                </w:p>
              </w:tc>
            </w:tr>
            <w:tr w:rsidR="00675EB3" w:rsidTr="00FC503D">
              <w:tc>
                <w:tcPr>
                  <w:tcW w:w="2330" w:type="dxa"/>
                  <w:tcBorders>
                    <w:top w:val="nil"/>
                    <w:left w:val="nil"/>
                    <w:bottom w:val="nil"/>
                    <w:right w:val="nil"/>
                  </w:tcBorders>
                </w:tcPr>
                <w:p w:rsidR="00675EB3" w:rsidRPr="009569F7" w:rsidRDefault="00675EB3" w:rsidP="00675EB3">
                  <w:pPr>
                    <w:pStyle w:val="NoSpacing"/>
                    <w:numPr>
                      <w:ilvl w:val="0"/>
                      <w:numId w:val="6"/>
                    </w:numPr>
                    <w:ind w:left="512"/>
                    <w:jc w:val="both"/>
                    <w:rPr>
                      <w:color w:val="auto"/>
                      <w:sz w:val="22"/>
                    </w:rPr>
                  </w:pPr>
                  <w:r w:rsidRPr="009569F7">
                    <w:rPr>
                      <w:color w:val="auto"/>
                      <w:sz w:val="22"/>
                    </w:rPr>
                    <w:t>Transportation</w:t>
                  </w:r>
                </w:p>
              </w:tc>
              <w:tc>
                <w:tcPr>
                  <w:tcW w:w="2700" w:type="dxa"/>
                  <w:tcBorders>
                    <w:top w:val="nil"/>
                    <w:left w:val="nil"/>
                    <w:bottom w:val="nil"/>
                    <w:right w:val="nil"/>
                  </w:tcBorders>
                </w:tcPr>
                <w:p w:rsidR="00675EB3" w:rsidRPr="009569F7" w:rsidRDefault="00FC503D" w:rsidP="00675EB3">
                  <w:pPr>
                    <w:pStyle w:val="NoSpacing"/>
                    <w:numPr>
                      <w:ilvl w:val="0"/>
                      <w:numId w:val="6"/>
                    </w:numPr>
                    <w:ind w:left="436"/>
                    <w:jc w:val="both"/>
                    <w:rPr>
                      <w:color w:val="auto"/>
                      <w:sz w:val="22"/>
                    </w:rPr>
                  </w:pPr>
                  <w:r w:rsidRPr="009569F7">
                    <w:rPr>
                      <w:color w:val="auto"/>
                      <w:sz w:val="22"/>
                    </w:rPr>
                    <w:t>1</w:t>
                  </w:r>
                  <w:r w:rsidRPr="009569F7">
                    <w:rPr>
                      <w:color w:val="auto"/>
                      <w:sz w:val="22"/>
                      <w:vertAlign w:val="superscript"/>
                    </w:rPr>
                    <w:t>st</w:t>
                  </w:r>
                  <w:r w:rsidRPr="009569F7">
                    <w:rPr>
                      <w:color w:val="auto"/>
                      <w:sz w:val="22"/>
                    </w:rPr>
                    <w:t xml:space="preserve"> Responder Avail.</w:t>
                  </w:r>
                </w:p>
              </w:tc>
              <w:tc>
                <w:tcPr>
                  <w:tcW w:w="1790" w:type="dxa"/>
                  <w:vMerge/>
                  <w:tcBorders>
                    <w:top w:val="nil"/>
                    <w:left w:val="nil"/>
                    <w:bottom w:val="nil"/>
                    <w:right w:val="nil"/>
                  </w:tcBorders>
                </w:tcPr>
                <w:p w:rsidR="00675EB3" w:rsidRDefault="00675EB3" w:rsidP="00675EB3">
                  <w:pPr>
                    <w:pStyle w:val="NoSpacing"/>
                    <w:jc w:val="both"/>
                    <w:rPr>
                      <w:b/>
                      <w:i/>
                      <w:sz w:val="22"/>
                    </w:rPr>
                  </w:pPr>
                </w:p>
              </w:tc>
            </w:tr>
          </w:tbl>
          <w:p w:rsidR="00675EB3" w:rsidRPr="00675EB3" w:rsidRDefault="00675EB3" w:rsidP="00675EB3">
            <w:pPr>
              <w:pStyle w:val="NoSpacing"/>
              <w:jc w:val="both"/>
              <w:rPr>
                <w:b/>
                <w:i/>
                <w:sz w:val="22"/>
              </w:rPr>
            </w:pPr>
          </w:p>
        </w:tc>
        <w:tc>
          <w:tcPr>
            <w:tcW w:w="319" w:type="dxa"/>
            <w:tcBorders>
              <w:left w:val="nil"/>
            </w:tcBorders>
          </w:tcPr>
          <w:p w:rsidR="009D2335" w:rsidRDefault="009D2335">
            <w:pPr>
              <w:pStyle w:val="NoSpacing"/>
            </w:pPr>
          </w:p>
        </w:tc>
        <w:tc>
          <w:tcPr>
            <w:tcW w:w="306" w:type="dxa"/>
          </w:tcPr>
          <w:p w:rsidR="009D2335" w:rsidRDefault="009D2335">
            <w:pPr>
              <w:pStyle w:val="NoSpacing"/>
            </w:pPr>
          </w:p>
        </w:tc>
        <w:tc>
          <w:tcPr>
            <w:tcW w:w="6840" w:type="dxa"/>
          </w:tcPr>
          <w:p w:rsidR="009569F7" w:rsidRDefault="009569F7" w:rsidP="009569F7">
            <w:pPr>
              <w:pStyle w:val="NoSpacing"/>
              <w:jc w:val="center"/>
              <w:rPr>
                <w:color w:val="FF0000"/>
                <w:sz w:val="56"/>
                <w:highlight w:val="yellow"/>
              </w:rPr>
            </w:pPr>
          </w:p>
          <w:p w:rsidR="009569F7" w:rsidRDefault="009569F7" w:rsidP="009569F7">
            <w:pPr>
              <w:pStyle w:val="NoSpacing"/>
              <w:jc w:val="center"/>
              <w:rPr>
                <w:color w:val="FF0000"/>
                <w:sz w:val="56"/>
                <w:highlight w:val="yellow"/>
              </w:rPr>
            </w:pPr>
          </w:p>
          <w:p w:rsidR="009569F7" w:rsidRDefault="009569F7" w:rsidP="009569F7">
            <w:pPr>
              <w:pStyle w:val="NoSpacing"/>
              <w:jc w:val="center"/>
              <w:rPr>
                <w:color w:val="FF0000"/>
                <w:sz w:val="56"/>
                <w:highlight w:val="yellow"/>
              </w:rPr>
            </w:pPr>
          </w:p>
          <w:p w:rsidR="009569F7" w:rsidRDefault="009569F7" w:rsidP="009569F7">
            <w:pPr>
              <w:pStyle w:val="NoSpacing"/>
              <w:jc w:val="center"/>
              <w:rPr>
                <w:color w:val="FF0000"/>
                <w:sz w:val="56"/>
                <w:highlight w:val="yellow"/>
              </w:rPr>
            </w:pPr>
          </w:p>
          <w:p w:rsidR="009569F7" w:rsidRDefault="009569F7" w:rsidP="009569F7">
            <w:pPr>
              <w:pStyle w:val="NoSpacing"/>
              <w:jc w:val="center"/>
              <w:rPr>
                <w:color w:val="FF0000"/>
                <w:sz w:val="56"/>
                <w:highlight w:val="yellow"/>
              </w:rPr>
            </w:pPr>
          </w:p>
          <w:p w:rsidR="009569F7" w:rsidRPr="009569F7" w:rsidRDefault="009569F7" w:rsidP="009569F7">
            <w:pPr>
              <w:pStyle w:val="NoSpacing"/>
              <w:jc w:val="center"/>
              <w:rPr>
                <w:color w:val="FF0000"/>
                <w:sz w:val="56"/>
                <w:highlight w:val="yellow"/>
              </w:rPr>
            </w:pPr>
            <w:r w:rsidRPr="009569F7">
              <w:rPr>
                <w:color w:val="FF0000"/>
                <w:sz w:val="56"/>
                <w:highlight w:val="yellow"/>
              </w:rPr>
              <w:t>Insert</w:t>
            </w:r>
          </w:p>
          <w:p w:rsidR="009569F7" w:rsidRPr="009569F7" w:rsidRDefault="009569F7" w:rsidP="009569F7">
            <w:pPr>
              <w:pStyle w:val="NoSpacing"/>
              <w:jc w:val="center"/>
              <w:rPr>
                <w:color w:val="FF0000"/>
                <w:sz w:val="56"/>
                <w:highlight w:val="yellow"/>
              </w:rPr>
            </w:pPr>
            <w:r w:rsidRPr="009569F7">
              <w:rPr>
                <w:color w:val="FF0000"/>
                <w:sz w:val="56"/>
                <w:highlight w:val="yellow"/>
              </w:rPr>
              <w:t>Facility</w:t>
            </w:r>
          </w:p>
          <w:p w:rsidR="009569F7" w:rsidRPr="009569F7" w:rsidRDefault="009569F7" w:rsidP="009569F7">
            <w:pPr>
              <w:pStyle w:val="NoSpacing"/>
              <w:jc w:val="center"/>
              <w:rPr>
                <w:color w:val="FF0000"/>
                <w:sz w:val="56"/>
                <w:highlight w:val="yellow"/>
              </w:rPr>
            </w:pPr>
            <w:r w:rsidRPr="009569F7">
              <w:rPr>
                <w:color w:val="FF0000"/>
                <w:sz w:val="56"/>
                <w:highlight w:val="yellow"/>
              </w:rPr>
              <w:t xml:space="preserve">Specific </w:t>
            </w:r>
          </w:p>
          <w:p w:rsidR="009569F7" w:rsidRPr="009569F7" w:rsidRDefault="009569F7" w:rsidP="009569F7">
            <w:pPr>
              <w:pStyle w:val="NoSpacing"/>
              <w:jc w:val="center"/>
              <w:rPr>
                <w:color w:val="FF0000"/>
                <w:sz w:val="56"/>
                <w:highlight w:val="yellow"/>
              </w:rPr>
            </w:pPr>
            <w:r w:rsidRPr="009569F7">
              <w:rPr>
                <w:color w:val="FF0000"/>
                <w:sz w:val="56"/>
                <w:highlight w:val="yellow"/>
              </w:rPr>
              <w:t>Information</w:t>
            </w:r>
          </w:p>
          <w:p w:rsidR="009569F7" w:rsidRPr="009569F7" w:rsidRDefault="009569F7" w:rsidP="009569F7">
            <w:pPr>
              <w:pStyle w:val="NoSpacing"/>
              <w:jc w:val="center"/>
            </w:pPr>
            <w:r w:rsidRPr="009569F7">
              <w:rPr>
                <w:color w:val="FF0000"/>
                <w:sz w:val="56"/>
                <w:highlight w:val="yellow"/>
              </w:rPr>
              <w:t>Here</w:t>
            </w:r>
          </w:p>
        </w:tc>
      </w:tr>
    </w:tbl>
    <w:p w:rsidR="009D2335" w:rsidRPr="002C6A70" w:rsidRDefault="009D2335">
      <w:pPr>
        <w:pStyle w:val="NoSpacing"/>
        <w:rPr>
          <w:sz w:val="2"/>
          <w:szCs w:val="2"/>
        </w:rPr>
      </w:pPr>
    </w:p>
    <w:sectPr w:rsidR="009D2335" w:rsidRPr="002C6A70" w:rsidSect="00DE3E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06092677"/>
    <w:multiLevelType w:val="hybridMultilevel"/>
    <w:tmpl w:val="8242A330"/>
    <w:lvl w:ilvl="0" w:tplc="14009506">
      <w:start w:val="1"/>
      <w:numFmt w:val="bullet"/>
      <w:lvlText w:val=""/>
      <w:lvlJc w:val="left"/>
      <w:pPr>
        <w:ind w:left="720" w:hanging="360"/>
      </w:pPr>
      <w:rPr>
        <w:rFonts w:ascii="Symbol" w:hAnsi="Symbol" w:hint="default"/>
        <w:color w:val="FF99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3C5786"/>
    <w:multiLevelType w:val="hybridMultilevel"/>
    <w:tmpl w:val="CF848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3507"/>
    <w:multiLevelType w:val="hybridMultilevel"/>
    <w:tmpl w:val="2D2EC79A"/>
    <w:lvl w:ilvl="0" w:tplc="C10A4C8A">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58559D"/>
    <w:multiLevelType w:val="hybridMultilevel"/>
    <w:tmpl w:val="F3163B6A"/>
    <w:lvl w:ilvl="0" w:tplc="AF2E122E">
      <w:start w:val="1"/>
      <w:numFmt w:val="bullet"/>
      <w:lvlText w:val=""/>
      <w:lvlJc w:val="left"/>
      <w:pPr>
        <w:ind w:left="720" w:hanging="360"/>
      </w:pPr>
      <w:rPr>
        <w:rFonts w:ascii="Wingdings" w:hAnsi="Wingdings" w:hint="default"/>
        <w:b/>
        <w:i w:val="0"/>
        <w:color w:val="FF51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B2"/>
    <w:rsid w:val="002C6A70"/>
    <w:rsid w:val="00363198"/>
    <w:rsid w:val="0057522A"/>
    <w:rsid w:val="00656DB0"/>
    <w:rsid w:val="00675EB3"/>
    <w:rsid w:val="00757AB4"/>
    <w:rsid w:val="009569F7"/>
    <w:rsid w:val="009D2335"/>
    <w:rsid w:val="00AE63B2"/>
    <w:rsid w:val="00DE3E9C"/>
    <w:rsid w:val="00E679D0"/>
    <w:rsid w:val="00F561BA"/>
    <w:rsid w:val="00FC5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5305C6"/>
  <w15:chartTrackingRefBased/>
  <w15:docId w15:val="{8E0FDFC6-E856-4C7D-97D0-A6F0925AD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198"/>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rsid w:val="00363198"/>
    <w:pPr>
      <w:keepNext/>
      <w:keepLines/>
      <w:spacing w:before="480" w:after="120"/>
      <w:contextualSpacing/>
      <w:outlineLvl w:val="1"/>
    </w:pPr>
    <w:rPr>
      <w:rFonts w:asciiTheme="majorHAnsi" w:eastAsiaTheme="majorEastAsia" w:hAnsiTheme="majorHAnsi" w:cstheme="majorBidi"/>
      <w:b/>
      <w:bCs/>
      <w:color w:val="75540F" w:themeColor="accent1" w:themeShade="80"/>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rsid w:val="00363198"/>
    <w:pPr>
      <w:keepNext/>
      <w:keepLines/>
      <w:spacing w:before="40" w:after="0" w:line="240" w:lineRule="auto"/>
      <w:outlineLvl w:val="3"/>
    </w:pPr>
    <w:rPr>
      <w:rFonts w:asciiTheme="majorHAnsi" w:eastAsiaTheme="majorEastAsia" w:hAnsiTheme="majorHAnsi" w:cstheme="majorBidi"/>
      <w:b/>
      <w:bCs/>
      <w:color w:val="75540F" w:themeColor="accent1" w:themeShade="80"/>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sid w:val="00363198"/>
    <w:rPr>
      <w:rFonts w:asciiTheme="majorHAnsi" w:eastAsiaTheme="majorEastAsia" w:hAnsiTheme="majorHAnsi" w:cstheme="majorBidi"/>
      <w:b/>
      <w:bCs/>
      <w:color w:val="75540F" w:themeColor="accent1" w:themeShade="80"/>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rsid w:val="00363198"/>
    <w:pPr>
      <w:spacing w:before="120" w:after="0" w:line="240" w:lineRule="auto"/>
      <w:contextualSpacing/>
    </w:pPr>
    <w:rPr>
      <w:b/>
      <w:bCs/>
      <w:caps/>
      <w:color w:val="75540F" w:themeColor="accent1" w:themeShade="80"/>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sid w:val="00363198"/>
    <w:rPr>
      <w:rFonts w:asciiTheme="majorHAnsi" w:eastAsiaTheme="majorEastAsia" w:hAnsiTheme="majorHAnsi" w:cstheme="majorBidi"/>
      <w:b/>
      <w:bCs/>
      <w:color w:val="75540F" w:themeColor="accent1" w:themeShade="80"/>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rsid w:val="00F561BA"/>
    <w:pPr>
      <w:tabs>
        <w:tab w:val="right" w:leader="dot" w:pos="6120"/>
      </w:tabs>
      <w:spacing w:after="100"/>
      <w:ind w:right="90"/>
    </w:pPr>
    <w:rPr>
      <w:rFonts w:cs="Times New Roman"/>
      <w:b/>
      <w:color w:val="FF6600"/>
      <w:sz w:val="28"/>
    </w:r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sid w:val="00363198"/>
    <w:rPr>
      <w:b/>
      <w:bCs/>
      <w:color w:val="75540F" w:themeColor="accent1" w:themeShade="80"/>
      <w:sz w:val="28"/>
      <w:szCs w:val="28"/>
    </w:rPr>
  </w:style>
  <w:style w:type="character" w:styleId="PageNumber">
    <w:name w:val="page number"/>
    <w:basedOn w:val="DefaultParagraphFont"/>
    <w:uiPriority w:val="12"/>
    <w:unhideWhenUsed/>
    <w:qFormat/>
    <w:rsid w:val="00363198"/>
    <w:rPr>
      <w:b/>
      <w:bCs/>
      <w:color w:val="75540F" w:themeColor="accent1" w:themeShade="80"/>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paragraph" w:styleId="BalloonText">
    <w:name w:val="Balloon Text"/>
    <w:basedOn w:val="Normal"/>
    <w:link w:val="BalloonTextChar"/>
    <w:uiPriority w:val="99"/>
    <w:semiHidden/>
    <w:unhideWhenUsed/>
    <w:rsid w:val="00AE63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3B2"/>
    <w:rPr>
      <w:rFonts w:ascii="Segoe UI" w:hAnsi="Segoe UI" w:cs="Segoe UI"/>
      <w:sz w:val="18"/>
      <w:szCs w:val="18"/>
    </w:rPr>
  </w:style>
  <w:style w:type="paragraph" w:styleId="ListParagraph">
    <w:name w:val="List Paragraph"/>
    <w:basedOn w:val="Normal"/>
    <w:uiPriority w:val="34"/>
    <w:unhideWhenUsed/>
    <w:rsid w:val="00AE63B2"/>
    <w:pPr>
      <w:spacing w:after="180"/>
      <w:ind w:left="720"/>
      <w:contextualSpacing/>
    </w:pPr>
    <w:rPr>
      <w:rFonts w:eastAsiaTheme="minorHAnsi"/>
      <w:color w:val="404040" w:themeColor="text1" w:themeTint="B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en%20noriega\AppData\Roaming\Microsoft\Templates\Booklet.dotx" TargetMode="External"/></Relationship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877044</LocLastLocAttemptVersionLookup>
    <PolicheckWords xmlns="4873beb7-5857-4685-be1f-d57550cc96cc" xsi:nil="true"/>
    <SubmitterId xmlns="4873beb7-5857-4685-be1f-d57550cc96cc" xsi:nil="true"/>
    <AcquiredFrom xmlns="4873beb7-5857-4685-be1f-d57550cc96cc">None</AcquiredFrom>
    <EditorialStatus xmlns="4873beb7-5857-4685-be1f-d57550cc96cc">Complete</EditorialStatus>
    <Markets xmlns="4873beb7-5857-4685-be1f-d57550cc96cc"/>
    <OriginAsset xmlns="4873beb7-5857-4685-be1f-d57550cc96cc" xsi:nil="true"/>
    <AssetStart xmlns="4873beb7-5857-4685-be1f-d57550cc96cc">2013-02-05T18:33:00+00:00</AssetStart>
    <FriendlyTitle xmlns="4873beb7-5857-4685-be1f-d57550cc96cc" xsi:nil="true"/>
    <MarketSpecific xmlns="4873beb7-5857-4685-be1f-d57550cc96cc">false</MarketSpecific>
    <TPNamespace xmlns="4873beb7-5857-4685-be1f-d57550cc96cc" xsi:nil="true"/>
    <PublishStatusLookup xmlns="4873beb7-5857-4685-be1f-d57550cc96cc">
      <Value>1673189</Value>
    </PublishStatusLookup>
    <APAuthor xmlns="4873beb7-5857-4685-be1f-d57550cc96cc">
      <UserInfo>
        <DisplayName>REDMOND\v-luannv</DisplayName>
        <AccountId>92</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TP104009677</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3C91CA-9AA6-4AB3-BC66-B18F43E63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4.xml><?xml version="1.0" encoding="utf-8"?>
<ds:datastoreItem xmlns:ds="http://schemas.openxmlformats.org/officeDocument/2006/customXml" ds:itemID="{7CD43FFF-DB4D-48F9-9B06-D3ECC1826E47}">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873beb7-5857-4685-be1f-d57550cc96cc"/>
    <ds:schemaRef ds:uri="http://www.w3.org/XML/1998/namespace"/>
    <ds:schemaRef ds:uri="http://purl.org/dc/dcmitype/"/>
  </ds:schemaRefs>
</ds:datastoreItem>
</file>

<file path=customXml/itemProps5.xml><?xml version="1.0" encoding="utf-8"?>
<ds:datastoreItem xmlns:ds="http://schemas.openxmlformats.org/officeDocument/2006/customXml" ds:itemID="{31B48BF0-3A78-413E-A453-203180D7B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Booklet</Template>
  <TotalTime>81</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Noriega, Stephen</dc:creator>
  <cp:keywords/>
  <dc:description/>
  <cp:lastModifiedBy>Noriega, Stephen</cp:lastModifiedBy>
  <cp:revision>1</cp:revision>
  <cp:lastPrinted>2019-11-13T20:03:00Z</cp:lastPrinted>
  <dcterms:created xsi:type="dcterms:W3CDTF">2019-11-13T18:34:00Z</dcterms:created>
  <dcterms:modified xsi:type="dcterms:W3CDTF">2019-11-13T20:04:00Z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